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648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030"/>
        <w:gridCol w:w="3765"/>
        <w:gridCol w:w="3452"/>
        <w:gridCol w:w="578"/>
      </w:tblGrid>
      <w:tr w:rsidR="00E601AB" w:rsidTr="003919E8">
        <w:trPr>
          <w:gridBefore w:val="1"/>
          <w:gridAfter w:val="1"/>
          <w:wBefore w:w="675" w:type="dxa"/>
          <w:wAfter w:w="592" w:type="dxa"/>
          <w:trHeight w:val="1763"/>
        </w:trPr>
        <w:tc>
          <w:tcPr>
            <w:tcW w:w="2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01AB" w:rsidRDefault="00E601AB" w:rsidP="003919E8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RE</w:t>
            </w:r>
            <w:r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GB"/>
              </w:rPr>
              <w:t>UBLICA  MOLDOVA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RAIONUL  ORHEI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CONSILIUL COMUNEI DONICI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601AB" w:rsidRDefault="00E601AB" w:rsidP="003919E8">
            <w:pPr>
              <w:pStyle w:val="Antet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val="en-US"/>
              </w:rPr>
              <w:drawing>
                <wp:inline distT="0" distB="0" distL="0" distR="0" wp14:anchorId="15715AC7" wp14:editId="38B44927">
                  <wp:extent cx="895350" cy="1047750"/>
                  <wp:effectExtent l="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601AB" w:rsidRDefault="00E601AB" w:rsidP="003919E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РЕСПУБЛИКА МОЛДОВА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ОРХЕЙСКИЙ РАЙОН</w:t>
            </w:r>
          </w:p>
          <w:p w:rsidR="00E601AB" w:rsidRDefault="00E601AB" w:rsidP="003919E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КОМУНАЛЬНЫЙ СОВЕТ ДОНИЧ</w:t>
            </w:r>
          </w:p>
        </w:tc>
      </w:tr>
      <w:tr w:rsidR="00E601AB" w:rsidRPr="00204143" w:rsidTr="003919E8">
        <w:trPr>
          <w:trHeight w:val="56"/>
        </w:trPr>
        <w:tc>
          <w:tcPr>
            <w:tcW w:w="114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601AB" w:rsidRDefault="00E601AB" w:rsidP="003919E8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MD 3526</w:t>
            </w:r>
            <w:r>
              <w:rPr>
                <w:b/>
                <w:noProof/>
                <w:color w:val="000000"/>
                <w:lang w:val="en-US"/>
              </w:rPr>
              <w:t xml:space="preserve">,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www.donici.comuna.md,</w:t>
            </w:r>
            <w:r>
              <w:rPr>
                <w:b/>
                <w:noProof/>
                <w:color w:val="000000"/>
                <w:lang w:val="en-US"/>
              </w:rPr>
              <w:t xml:space="preserve">  </w:t>
            </w:r>
            <w:r>
              <w:rPr>
                <w:noProof/>
                <w:color w:val="000000"/>
                <w:lang w:val="en-US"/>
              </w:rPr>
              <w:t xml:space="preserve">mail: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primaria.donici@mail.ru</w:t>
            </w:r>
            <w:r>
              <w:rPr>
                <w:b/>
                <w:noProof/>
                <w:color w:val="000000"/>
                <w:lang w:val="en-US"/>
              </w:rPr>
              <w:t>, tel/fax: + 373( 235) 73-536/93-</w:t>
            </w:r>
            <w:r>
              <w:rPr>
                <w:b/>
                <w:bCs/>
                <w:color w:val="000000"/>
                <w:shd w:val="clear" w:color="auto" w:fill="FFFFFF"/>
                <w:lang w:val="en-US"/>
              </w:rPr>
              <w:t>424</w:t>
            </w:r>
          </w:p>
        </w:tc>
      </w:tr>
    </w:tbl>
    <w:p w:rsidR="00745E10" w:rsidRDefault="00745E10" w:rsidP="00745E10">
      <w:pPr>
        <w:ind w:firstLine="567"/>
        <w:jc w:val="both"/>
        <w:rPr>
          <w:szCs w:val="28"/>
          <w:lang w:val="ro-RO"/>
        </w:rPr>
      </w:pPr>
      <w:r w:rsidRPr="001C36D1">
        <w:rPr>
          <w:b/>
          <w:szCs w:val="28"/>
          <w:lang w:val="ro-RO"/>
        </w:rPr>
        <w:t xml:space="preserve">                                                </w:t>
      </w:r>
      <w:r w:rsidRPr="006A35F1">
        <w:rPr>
          <w:b/>
          <w:szCs w:val="28"/>
          <w:lang w:val="en-US"/>
        </w:rPr>
        <w:t xml:space="preserve">    </w:t>
      </w:r>
      <w:r w:rsidRPr="001C36D1">
        <w:rPr>
          <w:b/>
          <w:szCs w:val="28"/>
          <w:lang w:val="ro-RO"/>
        </w:rPr>
        <w:t xml:space="preserve">       DECIZIE </w:t>
      </w:r>
      <w:r>
        <w:rPr>
          <w:b/>
          <w:szCs w:val="28"/>
          <w:lang w:val="ro-RO"/>
        </w:rPr>
        <w:t>proiect</w:t>
      </w:r>
    </w:p>
    <w:p w:rsidR="00745E10" w:rsidRPr="00DC72EA" w:rsidRDefault="00745E10" w:rsidP="00745E10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nr. </w:t>
      </w:r>
      <w:r w:rsidR="00664048">
        <w:rPr>
          <w:szCs w:val="28"/>
          <w:lang w:val="ro-RO"/>
        </w:rPr>
        <w:t>5.</w:t>
      </w:r>
      <w:r w:rsidR="00204143">
        <w:rPr>
          <w:szCs w:val="28"/>
          <w:lang w:val="ro-RO"/>
        </w:rPr>
        <w:t>2</w:t>
      </w:r>
      <w:r w:rsidR="00664048">
        <w:rPr>
          <w:szCs w:val="28"/>
          <w:lang w:val="ro-RO"/>
        </w:rPr>
        <w:t xml:space="preserve"> </w:t>
      </w:r>
      <w:r w:rsidR="00B6710D">
        <w:rPr>
          <w:szCs w:val="28"/>
          <w:lang w:val="ro-RO"/>
        </w:rPr>
        <w:t xml:space="preserve">                                                                                                           </w:t>
      </w:r>
      <w:r>
        <w:rPr>
          <w:szCs w:val="28"/>
          <w:lang w:val="ro-RO"/>
        </w:rPr>
        <w:t xml:space="preserve">din </w:t>
      </w:r>
      <w:r w:rsidR="00204143">
        <w:rPr>
          <w:szCs w:val="28"/>
          <w:lang w:val="ro-RO"/>
        </w:rPr>
        <w:t>16</w:t>
      </w:r>
      <w:r w:rsidR="005E4705">
        <w:rPr>
          <w:szCs w:val="28"/>
          <w:lang w:val="ro-RO"/>
        </w:rPr>
        <w:t>.12.202</w:t>
      </w:r>
      <w:r w:rsidR="00204143">
        <w:rPr>
          <w:szCs w:val="28"/>
          <w:lang w:val="ro-RO"/>
        </w:rPr>
        <w:t>2</w:t>
      </w:r>
    </w:p>
    <w:p w:rsidR="00745E10" w:rsidRDefault="00745E10" w:rsidP="00745E10">
      <w:pPr>
        <w:pStyle w:val="Listparagraf"/>
        <w:ind w:left="927"/>
        <w:rPr>
          <w:sz w:val="24"/>
          <w:szCs w:val="24"/>
          <w:lang w:val="ro-RO"/>
        </w:rPr>
      </w:pPr>
    </w:p>
    <w:p w:rsidR="00745E10" w:rsidRDefault="00745E10" w:rsidP="00745E10">
      <w:pPr>
        <w:pStyle w:val="1"/>
        <w:ind w:left="0"/>
        <w:jc w:val="both"/>
        <w:rPr>
          <w:i/>
          <w:lang w:eastAsia="en-US"/>
        </w:rPr>
      </w:pPr>
      <w:r>
        <w:rPr>
          <w:i/>
          <w:lang w:eastAsia="en-US"/>
        </w:rPr>
        <w:t xml:space="preserve">Cu privire la aprobarea şi  punerea în </w:t>
      </w:r>
    </w:p>
    <w:p w:rsidR="00745E10" w:rsidRDefault="00745E10" w:rsidP="00745E10">
      <w:pPr>
        <w:pStyle w:val="1"/>
        <w:ind w:left="0"/>
        <w:jc w:val="both"/>
        <w:rPr>
          <w:i/>
          <w:lang w:eastAsia="en-US"/>
        </w:rPr>
      </w:pPr>
      <w:r>
        <w:rPr>
          <w:i/>
          <w:lang w:eastAsia="en-US"/>
        </w:rPr>
        <w:t xml:space="preserve">aplicare a </w:t>
      </w:r>
      <w:r w:rsidR="00192D1E">
        <w:rPr>
          <w:i/>
          <w:lang w:eastAsia="en-US"/>
        </w:rPr>
        <w:t>taxelor locale pentru anul 2023</w:t>
      </w:r>
    </w:p>
    <w:p w:rsidR="00745E10" w:rsidRPr="008E2A9A" w:rsidRDefault="00745E10" w:rsidP="00664048">
      <w:pPr>
        <w:spacing w:after="200" w:line="276" w:lineRule="auto"/>
        <w:jc w:val="both"/>
        <w:rPr>
          <w:rFonts w:eastAsiaTheme="minorHAnsi"/>
          <w:lang w:val="ro-RO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color w:val="000000"/>
          <w:lang w:val="ro-RO"/>
        </w:rPr>
        <w:t xml:space="preserve">    În conformitate cu Titlul VII ,,Taxele locale’’ din Codul fiscal, </w:t>
      </w:r>
      <w:r>
        <w:rPr>
          <w:lang w:val="ro-RO"/>
        </w:rPr>
        <w:t xml:space="preserve">art.14  alin.2  lit. a), art.19  alin.4,  art.22  alin.1 din  </w:t>
      </w:r>
      <w:r>
        <w:rPr>
          <w:color w:val="000000"/>
          <w:lang w:val="ro-RO"/>
        </w:rPr>
        <w:t>Legea privind administra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 xml:space="preserve">ia publică locală nr. 436-XVI din 28 decembrie 2006, art.32 </w:t>
      </w:r>
      <w:proofErr w:type="spellStart"/>
      <w:r>
        <w:rPr>
          <w:color w:val="000000"/>
          <w:lang w:val="ro-RO"/>
        </w:rPr>
        <w:t>lit.b</w:t>
      </w:r>
      <w:proofErr w:type="spellEnd"/>
      <w:r>
        <w:rPr>
          <w:color w:val="000000"/>
          <w:lang w:val="ro-RO"/>
        </w:rPr>
        <w:t>)  din Legea privind finan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>ele publice nr.397-XV din 16.10.2003,  art.28 alin.2 din Legea finan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 xml:space="preserve">elor publice </w:t>
      </w:r>
      <w:r>
        <w:rPr>
          <w:rFonts w:ascii="Cambria Math" w:hAnsi="Cambria Math" w:cs="Cambria Math"/>
          <w:color w:val="000000"/>
          <w:lang w:val="ro-RO"/>
        </w:rPr>
        <w:t>ș</w:t>
      </w:r>
      <w:r>
        <w:rPr>
          <w:color w:val="000000"/>
          <w:lang w:val="ro-RO"/>
        </w:rPr>
        <w:t>i responsabilită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>ii bugetar fiscal nr. 181 din 25.07.2014,</w:t>
      </w:r>
      <w:r>
        <w:rPr>
          <w:lang w:val="ro-RO"/>
        </w:rPr>
        <w:t xml:space="preserve"> Legea nr. 235-XVI din 20.06.2006 cu privire la principiile de bază de reglementare a activităţii de întreprinzător,</w:t>
      </w:r>
      <w:r>
        <w:rPr>
          <w:color w:val="000000"/>
          <w:lang w:val="ro-RO"/>
        </w:rPr>
        <w:t xml:space="preserve"> </w:t>
      </w:r>
      <w:proofErr w:type="spellStart"/>
      <w:r>
        <w:rPr>
          <w:bCs/>
          <w:lang w:val="en-US"/>
        </w:rPr>
        <w:t>Legea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reglementarea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autorizare</w:t>
      </w:r>
      <w:proofErr w:type="spellEnd"/>
      <w:r>
        <w:rPr>
          <w:lang w:val="en-US"/>
        </w:rPr>
        <w:t xml:space="preserve"> </w:t>
      </w:r>
      <w:r>
        <w:rPr>
          <w:bCs/>
          <w:lang w:val="en-US"/>
        </w:rPr>
        <w:t xml:space="preserve">a </w:t>
      </w:r>
      <w:proofErr w:type="spellStart"/>
      <w:r>
        <w:rPr>
          <w:bCs/>
          <w:lang w:val="en-US"/>
        </w:rPr>
        <w:t>activităţii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întreprinzător</w:t>
      </w:r>
      <w:proofErr w:type="spellEnd"/>
      <w:r>
        <w:rPr>
          <w:lang w:val="en-US"/>
        </w:rPr>
        <w:t xml:space="preserve"> </w:t>
      </w:r>
      <w:proofErr w:type="spellStart"/>
      <w:r>
        <w:rPr>
          <w:bCs/>
          <w:lang w:val="en-US"/>
        </w:rPr>
        <w:t>nr</w:t>
      </w:r>
      <w:proofErr w:type="spellEnd"/>
      <w:r>
        <w:rPr>
          <w:bCs/>
          <w:lang w:val="en-US"/>
        </w:rPr>
        <w:t>. 160</w:t>
      </w:r>
      <w:proofErr w:type="gramStart"/>
      <w:r>
        <w:rPr>
          <w:bCs/>
          <w:lang w:val="en-US"/>
        </w:rPr>
        <w:t>  din</w:t>
      </w:r>
      <w:proofErr w:type="gramEnd"/>
      <w:r>
        <w:rPr>
          <w:bCs/>
          <w:lang w:val="en-US"/>
        </w:rPr>
        <w:t>  22.07.2011, art.17,17</w:t>
      </w:r>
      <w:r>
        <w:rPr>
          <w:bCs/>
          <w:vertAlign w:val="superscript"/>
          <w:lang w:val="en-US"/>
        </w:rPr>
        <w:t xml:space="preserve">7 </w:t>
      </w:r>
      <w:r>
        <w:rPr>
          <w:bCs/>
          <w:lang w:val="en-US"/>
        </w:rPr>
        <w:t xml:space="preserve">din  </w:t>
      </w:r>
      <w:r>
        <w:rPr>
          <w:color w:val="000000"/>
          <w:lang w:val="ro-RO"/>
        </w:rPr>
        <w:t xml:space="preserve">Legea cu privire la comerţul interior nr.231 din 23.09.2010, </w:t>
      </w:r>
      <w:proofErr w:type="spellStart"/>
      <w:r>
        <w:rPr>
          <w:color w:val="000000"/>
          <w:lang w:val="ro-RO"/>
        </w:rPr>
        <w:t>Hotărîrea</w:t>
      </w:r>
      <w:proofErr w:type="spellEnd"/>
      <w:r>
        <w:rPr>
          <w:color w:val="000000"/>
          <w:lang w:val="ro-RO"/>
        </w:rPr>
        <w:t xml:space="preserve"> Guvernului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desfăşurarea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comerţului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amănuntul</w:t>
      </w:r>
      <w:proofErr w:type="spellEnd"/>
      <w:r>
        <w:rPr>
          <w:lang w:val="en-US"/>
        </w:rPr>
        <w:t xml:space="preserve"> </w:t>
      </w:r>
      <w:proofErr w:type="spellStart"/>
      <w:r>
        <w:rPr>
          <w:bCs/>
          <w:lang w:val="en-US"/>
        </w:rPr>
        <w:t>nr</w:t>
      </w:r>
      <w:proofErr w:type="spellEnd"/>
      <w:r>
        <w:rPr>
          <w:bCs/>
          <w:lang w:val="en-US"/>
        </w:rPr>
        <w:t xml:space="preserve">. </w:t>
      </w:r>
      <w:proofErr w:type="gramStart"/>
      <w:r>
        <w:rPr>
          <w:bCs/>
          <w:lang w:val="en-US"/>
        </w:rPr>
        <w:t>931  din</w:t>
      </w:r>
      <w:proofErr w:type="gramEnd"/>
      <w:r>
        <w:rPr>
          <w:bCs/>
          <w:lang w:val="en-US"/>
        </w:rPr>
        <w:t xml:space="preserve">  08.12.2011</w:t>
      </w:r>
      <w:r>
        <w:rPr>
          <w:bCs/>
          <w:lang w:val="ro-RO"/>
        </w:rPr>
        <w:t xml:space="preserve">, </w:t>
      </w:r>
      <w:r>
        <w:rPr>
          <w:bCs/>
          <w:lang w:val="en-US"/>
        </w:rPr>
        <w:t xml:space="preserve"> </w:t>
      </w:r>
      <w:proofErr w:type="spellStart"/>
      <w:r>
        <w:rPr>
          <w:color w:val="000000"/>
          <w:lang w:val="ro-RO"/>
        </w:rPr>
        <w:t>Hotărîrea</w:t>
      </w:r>
      <w:proofErr w:type="spellEnd"/>
      <w:r>
        <w:rPr>
          <w:color w:val="000000"/>
          <w:lang w:val="ro-RO"/>
        </w:rPr>
        <w:t xml:space="preserve"> Guvernului cu privire la aprobarea Regulamentului transporturilor auto de călători şi bagaje nr. 854 din 28.07.2006,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</w:t>
      </w:r>
      <w:proofErr w:type="spellEnd"/>
      <w:r>
        <w:rPr>
          <w:lang w:val="en-US"/>
        </w:rPr>
        <w:t xml:space="preserve"> al 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consultative  de  </w:t>
      </w:r>
      <w:proofErr w:type="spellStart"/>
      <w:r>
        <w:rPr>
          <w:lang w:val="en-US"/>
        </w:rPr>
        <w:t>specialitate</w:t>
      </w:r>
      <w:proofErr w:type="spellEnd"/>
      <w:r w:rsidRPr="00213FB1">
        <w:rPr>
          <w:rFonts w:eastAsiaTheme="minorHAnsi"/>
          <w:sz w:val="18"/>
          <w:szCs w:val="18"/>
          <w:lang w:val="ro-RO" w:eastAsia="en-US"/>
        </w:rPr>
        <w:t xml:space="preserve"> </w:t>
      </w:r>
      <w:r w:rsidRPr="008E2A9A">
        <w:rPr>
          <w:rFonts w:eastAsiaTheme="minorHAnsi"/>
          <w:lang w:val="ro-RO" w:eastAsia="en-US"/>
        </w:rPr>
        <w:t>Consiliul comunal DONICI  DECIDE:</w:t>
      </w:r>
    </w:p>
    <w:p w:rsidR="00745E10" w:rsidRDefault="00745E10" w:rsidP="00664048">
      <w:pPr>
        <w:numPr>
          <w:ilvl w:val="0"/>
          <w:numId w:val="7"/>
        </w:numPr>
        <w:spacing w:line="276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>Se stabilesc taxele locale conform titlului VII al Codului fiscal  pe  teritoriul  comunei Donici, în</w:t>
      </w:r>
      <w:r w:rsidR="00CF2F89">
        <w:rPr>
          <w:color w:val="000000"/>
          <w:lang w:val="ro-RO"/>
        </w:rPr>
        <w:t>cepând  cu  data  de  01.01.2023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76" w:lineRule="auto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Taxa  pentru  amenajarea  teritoriului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76" w:lineRule="auto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Taxa pentru  unită</w:t>
      </w:r>
      <w:r>
        <w:rPr>
          <w:rFonts w:ascii="Cambria Math" w:hAnsi="Cambria Math" w:cs="Cambria Math"/>
          <w:color w:val="000000"/>
          <w:sz w:val="24"/>
          <w:szCs w:val="24"/>
          <w:lang w:val="ro-RO"/>
        </w:rPr>
        <w:t>ț</w:t>
      </w:r>
      <w:r>
        <w:rPr>
          <w:color w:val="000000"/>
          <w:sz w:val="24"/>
          <w:szCs w:val="24"/>
          <w:lang w:val="ro-RO"/>
        </w:rPr>
        <w:t xml:space="preserve">ile  comerciale  </w:t>
      </w:r>
      <w:r>
        <w:rPr>
          <w:rFonts w:ascii="Cambria Math" w:hAnsi="Cambria Math" w:cs="Cambria Math"/>
          <w:color w:val="000000"/>
          <w:sz w:val="24"/>
          <w:szCs w:val="24"/>
          <w:lang w:val="ro-RO"/>
        </w:rPr>
        <w:t>ș</w:t>
      </w:r>
      <w:r>
        <w:rPr>
          <w:color w:val="000000"/>
          <w:sz w:val="24"/>
          <w:szCs w:val="24"/>
          <w:lang w:val="ro-RO"/>
        </w:rPr>
        <w:t>i  sau  de  prestări  servicii</w:t>
      </w:r>
    </w:p>
    <w:p w:rsidR="00745E10" w:rsidRDefault="00745E10" w:rsidP="00664048">
      <w:pPr>
        <w:numPr>
          <w:ilvl w:val="0"/>
          <w:numId w:val="7"/>
        </w:numPr>
        <w:jc w:val="both"/>
        <w:rPr>
          <w:lang w:val="ro-RO"/>
        </w:rPr>
      </w:pPr>
      <w:r>
        <w:rPr>
          <w:lang w:val="ro-RO"/>
        </w:rPr>
        <w:t xml:space="preserve">Se </w:t>
      </w:r>
      <w:r>
        <w:rPr>
          <w:color w:val="000000"/>
          <w:lang w:val="ro-RO"/>
        </w:rPr>
        <w:t>stabilesc  următoarele  cote  concrete  a  taxelor  locale:</w:t>
      </w:r>
    </w:p>
    <w:p w:rsidR="00745E10" w:rsidRDefault="00745E10" w:rsidP="00664048">
      <w:pPr>
        <w:pStyle w:val="Listparagraf"/>
        <w:numPr>
          <w:ilvl w:val="0"/>
          <w:numId w:val="9"/>
        </w:numPr>
        <w:spacing w:after="160" w:line="25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Taxa  pentru  amenajarea  teritoriului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 baza  impozabilă  a  obiectului  impunerii-numărul  mediu  scriptic  trimestrial  al  salaria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ilor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i, suplimentar: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 cazul  întreprinderilor  individuale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 gospodăriilor  </w:t>
      </w:r>
      <w:proofErr w:type="spellStart"/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ărăne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t</w:t>
      </w:r>
      <w:proofErr w:type="spellEnd"/>
      <w:r>
        <w:rPr>
          <w:sz w:val="24"/>
          <w:szCs w:val="24"/>
          <w:lang w:val="ro-RO"/>
        </w:rPr>
        <w:t xml:space="preserve"> (de  fermier) - fondatorii  întreprinderii  individuale, fondatorul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 membrii  gospodăriilor  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ărăne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ti (de  fermier);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 cazul persoanelor  care  desfă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oară  activitate  profesională  în  sectorul  justi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iei – numărul  de  persoane  abilitate  prin  lege  pentru  desfă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urarea  activită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  profesionale  în  sectorul  justi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iei;</w:t>
      </w:r>
    </w:p>
    <w:p w:rsidR="00745E10" w:rsidRDefault="00745E10" w:rsidP="00664048">
      <w:pPr>
        <w:pStyle w:val="Listparagraf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 stabile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te -</w:t>
      </w:r>
      <w:r>
        <w:rPr>
          <w:b/>
          <w:sz w:val="24"/>
          <w:szCs w:val="24"/>
          <w:lang w:val="ro-RO"/>
        </w:rPr>
        <w:t>80 lei</w:t>
      </w:r>
      <w:r>
        <w:rPr>
          <w:sz w:val="24"/>
          <w:szCs w:val="24"/>
          <w:lang w:val="ro-RO"/>
        </w:rPr>
        <w:t xml:space="preserve">  anual  pentru  fiecare  salariat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i/sau  fondator  al  întreprinderii  individuale, al  </w:t>
      </w:r>
      <w:proofErr w:type="spellStart"/>
      <w:r>
        <w:rPr>
          <w:sz w:val="24"/>
          <w:szCs w:val="24"/>
          <w:lang w:val="ro-RO"/>
        </w:rPr>
        <w:t>gospodărieu</w:t>
      </w:r>
      <w:proofErr w:type="spellEnd"/>
      <w:r>
        <w:rPr>
          <w:sz w:val="24"/>
          <w:szCs w:val="24"/>
          <w:lang w:val="ro-RO"/>
        </w:rPr>
        <w:t xml:space="preserve">  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ărăne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ti (de fermier), de  </w:t>
      </w:r>
      <w:proofErr w:type="spellStart"/>
      <w:r>
        <w:rPr>
          <w:sz w:val="24"/>
          <w:szCs w:val="24"/>
          <w:lang w:val="ro-RO"/>
        </w:rPr>
        <w:t>asemebea</w:t>
      </w:r>
      <w:proofErr w:type="spellEnd"/>
      <w:r>
        <w:rPr>
          <w:sz w:val="24"/>
          <w:szCs w:val="24"/>
          <w:lang w:val="ro-RO"/>
        </w:rPr>
        <w:t xml:space="preserve">  membrii  acesteia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i/ sau pentru  fiecare  persoană  ce  desfă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oară  activitate  profesională  în  sectorul  justi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iei.</w:t>
      </w:r>
    </w:p>
    <w:p w:rsidR="00745E10" w:rsidRDefault="00745E10" w:rsidP="00664048">
      <w:pPr>
        <w:pStyle w:val="Listparagraf"/>
        <w:numPr>
          <w:ilvl w:val="0"/>
          <w:numId w:val="9"/>
        </w:numPr>
        <w:spacing w:after="160" w:line="25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Taxa pentru  unită</w:t>
      </w:r>
      <w:r>
        <w:rPr>
          <w:rFonts w:ascii="Cambria Math" w:hAnsi="Cambria Math" w:cs="Cambria Math"/>
          <w:b/>
          <w:sz w:val="24"/>
          <w:szCs w:val="24"/>
          <w:lang w:val="ro-RO"/>
        </w:rPr>
        <w:t>ț</w:t>
      </w:r>
      <w:r>
        <w:rPr>
          <w:b/>
          <w:sz w:val="24"/>
          <w:szCs w:val="24"/>
          <w:lang w:val="ro-RO"/>
        </w:rPr>
        <w:t xml:space="preserve">ile  comerciale  </w:t>
      </w:r>
      <w:r>
        <w:rPr>
          <w:rFonts w:ascii="Cambria Math" w:hAnsi="Cambria Math" w:cs="Cambria Math"/>
          <w:b/>
          <w:sz w:val="24"/>
          <w:szCs w:val="24"/>
          <w:lang w:val="ro-RO"/>
        </w:rPr>
        <w:t>ș</w:t>
      </w:r>
      <w:r>
        <w:rPr>
          <w:b/>
          <w:sz w:val="24"/>
          <w:szCs w:val="24"/>
          <w:lang w:val="ro-RO"/>
        </w:rPr>
        <w:t>i  sau  prestări  servicii</w:t>
      </w:r>
    </w:p>
    <w:p w:rsidR="00745E10" w:rsidRDefault="00745E10" w:rsidP="00664048">
      <w:pPr>
        <w:pStyle w:val="Listparagraf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unită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ile   de  comer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i/sau  prestări  servicii  care  corespund  activită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ilor  expuse  în  anexa  nr.1  la  Legea  nr.231  din  23  septembrie  2010  cu  privire  la  comer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ul  interior. (conform  anexei  nr.2)</w:t>
      </w:r>
    </w:p>
    <w:p w:rsidR="00745E10" w:rsidRDefault="00745E10" w:rsidP="00664048">
      <w:pPr>
        <w:jc w:val="both"/>
        <w:rPr>
          <w:lang w:val="ro-RO"/>
        </w:rPr>
      </w:pPr>
      <w:r>
        <w:rPr>
          <w:lang w:val="ro-RO"/>
        </w:rPr>
        <w:t xml:space="preserve">         </w:t>
      </w:r>
    </w:p>
    <w:p w:rsidR="00745E10" w:rsidRDefault="00745E10" w:rsidP="00745E10">
      <w:pPr>
        <w:ind w:left="720"/>
        <w:jc w:val="both"/>
        <w:rPr>
          <w:lang w:val="ro-RO"/>
        </w:rPr>
      </w:pPr>
    </w:p>
    <w:p w:rsidR="00745E10" w:rsidRDefault="00745E10" w:rsidP="00745E10">
      <w:pPr>
        <w:ind w:left="1080"/>
        <w:jc w:val="both"/>
        <w:rPr>
          <w:color w:val="000000"/>
          <w:lang w:val="ro-RO"/>
        </w:rPr>
      </w:pPr>
    </w:p>
    <w:p w:rsidR="00745E10" w:rsidRDefault="00745E10" w:rsidP="00745E10">
      <w:pPr>
        <w:pStyle w:val="Listparagraf"/>
        <w:numPr>
          <w:ilvl w:val="0"/>
          <w:numId w:val="7"/>
        </w:numPr>
        <w:spacing w:after="160" w:line="256" w:lineRule="auto"/>
        <w:jc w:val="both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Subiecţii impunerii, baza impozabilă a obiectelor </w:t>
      </w:r>
      <w:proofErr w:type="spellStart"/>
      <w:r>
        <w:rPr>
          <w:sz w:val="24"/>
          <w:szCs w:val="24"/>
          <w:lang w:val="ro-RO"/>
        </w:rPr>
        <w:t>impunetii</w:t>
      </w:r>
      <w:proofErr w:type="spellEnd"/>
      <w:r>
        <w:rPr>
          <w:sz w:val="24"/>
          <w:szCs w:val="24"/>
          <w:lang w:val="ro-RO"/>
        </w:rPr>
        <w:t>, modul de calcularea, termenele de achitarea şi de prezentarea dării de seamă la taxele locale stabilite, conform Titlului VII al Codului fiscal.</w:t>
      </w:r>
    </w:p>
    <w:p w:rsidR="00745E10" w:rsidRDefault="00745E10" w:rsidP="00745E10">
      <w:pPr>
        <w:numPr>
          <w:ilvl w:val="0"/>
          <w:numId w:val="7"/>
        </w:numPr>
        <w:jc w:val="both"/>
        <w:rPr>
          <w:color w:val="000000"/>
          <w:lang w:val="ro-RO"/>
        </w:rPr>
      </w:pPr>
      <w:r>
        <w:rPr>
          <w:lang w:val="ro-RO"/>
        </w:rPr>
        <w:t xml:space="preserve"> Prezenta decizie în termen de 10 zile</w:t>
      </w:r>
      <w:r>
        <w:rPr>
          <w:color w:val="FFFFFF"/>
          <w:lang w:val="ro-RO"/>
        </w:rPr>
        <w:t xml:space="preserve"> </w:t>
      </w:r>
      <w:r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745E10" w:rsidRDefault="00745E10" w:rsidP="00745E10">
      <w:pPr>
        <w:numPr>
          <w:ilvl w:val="0"/>
          <w:numId w:val="7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Controlul  executării  prezentei  decizii  se  pune  pe  seama  primarului  comunei Donici, GUZUN Serghei.</w:t>
      </w:r>
      <w:r>
        <w:rPr>
          <w:color w:val="FFFFFF"/>
          <w:lang w:val="ro-RO"/>
        </w:rPr>
        <w:t xml:space="preserve">                  </w:t>
      </w: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Pr="00FE0FE4" w:rsidRDefault="00745E10" w:rsidP="00745E10">
      <w:pPr>
        <w:pStyle w:val="Titlu2"/>
        <w:rPr>
          <w:rStyle w:val="Accentuat"/>
          <w:lang w:val="en-US"/>
        </w:rPr>
      </w:pPr>
      <w:bookmarkStart w:id="0" w:name="_GoBack"/>
      <w:bookmarkEnd w:id="0"/>
      <w:proofErr w:type="spellStart"/>
      <w:r w:rsidRPr="00FE0FE4">
        <w:rPr>
          <w:rStyle w:val="Accentuat"/>
          <w:lang w:val="en-US"/>
        </w:rPr>
        <w:t>Preşedintele</w:t>
      </w:r>
      <w:proofErr w:type="spellEnd"/>
      <w:r w:rsidRPr="00FE0FE4">
        <w:rPr>
          <w:rStyle w:val="Accentuat"/>
          <w:lang w:val="en-US"/>
        </w:rPr>
        <w:t xml:space="preserve"> </w:t>
      </w:r>
      <w:proofErr w:type="spellStart"/>
      <w:r w:rsidRPr="00FE0FE4">
        <w:rPr>
          <w:rStyle w:val="Accentuat"/>
          <w:lang w:val="en-US"/>
        </w:rPr>
        <w:t>şedinţei</w:t>
      </w:r>
      <w:proofErr w:type="spellEnd"/>
      <w:r w:rsidRPr="00FE0FE4">
        <w:rPr>
          <w:rStyle w:val="Accentuat"/>
          <w:lang w:val="en-US"/>
        </w:rPr>
        <w:tab/>
        <w:t xml:space="preserve">                                                    </w:t>
      </w:r>
    </w:p>
    <w:p w:rsidR="00745E10" w:rsidRPr="00FE0FE4" w:rsidRDefault="00745E10" w:rsidP="00745E10">
      <w:pPr>
        <w:pStyle w:val="Titlu2"/>
        <w:rPr>
          <w:rStyle w:val="Accentuat"/>
          <w:lang w:val="en-US"/>
        </w:rPr>
      </w:pPr>
      <w:proofErr w:type="spellStart"/>
      <w:r w:rsidRPr="00FE0FE4">
        <w:rPr>
          <w:rStyle w:val="Accentuat"/>
          <w:lang w:val="en-US"/>
        </w:rPr>
        <w:t>Semnat</w:t>
      </w:r>
      <w:proofErr w:type="spellEnd"/>
      <w:r w:rsidRPr="00FE0FE4">
        <w:rPr>
          <w:rStyle w:val="Accentuat"/>
          <w:lang w:val="en-US"/>
        </w:rPr>
        <w:t xml:space="preserve"> la data de ______________</w:t>
      </w:r>
      <w:r w:rsidRPr="00FE0FE4">
        <w:rPr>
          <w:rStyle w:val="Accentuat"/>
          <w:lang w:val="en-US"/>
        </w:rPr>
        <w:tab/>
      </w:r>
      <w:r w:rsidRPr="00FE0FE4">
        <w:rPr>
          <w:rStyle w:val="Accentuat"/>
          <w:lang w:val="en-US"/>
        </w:rPr>
        <w:tab/>
        <w:t xml:space="preserve">                    </w:t>
      </w:r>
      <w:r w:rsidRPr="00FE0FE4">
        <w:rPr>
          <w:rStyle w:val="Accentuat"/>
          <w:lang w:val="en-US"/>
        </w:rPr>
        <w:tab/>
      </w:r>
      <w:r w:rsidRPr="00FE0FE4">
        <w:rPr>
          <w:rStyle w:val="Accentuat"/>
          <w:lang w:val="en-US"/>
        </w:rPr>
        <w:tab/>
      </w:r>
      <w:r w:rsidRPr="00FE0FE4">
        <w:rPr>
          <w:rStyle w:val="Accentuat"/>
          <w:lang w:val="en-US"/>
        </w:rPr>
        <w:tab/>
      </w:r>
    </w:p>
    <w:p w:rsidR="00745E10" w:rsidRDefault="00745E10" w:rsidP="00745E10">
      <w:pPr>
        <w:pStyle w:val="Titlu2"/>
        <w:rPr>
          <w:rStyle w:val="Accentuat"/>
          <w:lang w:val="ro-RO"/>
        </w:rPr>
      </w:pPr>
      <w:proofErr w:type="spellStart"/>
      <w:r w:rsidRPr="008E224C">
        <w:rPr>
          <w:rStyle w:val="Accentuat"/>
          <w:lang w:val="en-US"/>
        </w:rPr>
        <w:t>Secretarul</w:t>
      </w:r>
      <w:proofErr w:type="spellEnd"/>
      <w:r w:rsidRPr="008E224C">
        <w:rPr>
          <w:rStyle w:val="Accentuat"/>
          <w:lang w:val="en-US"/>
        </w:rPr>
        <w:t xml:space="preserve"> </w:t>
      </w:r>
      <w:proofErr w:type="spellStart"/>
      <w:r w:rsidRPr="008E224C">
        <w:rPr>
          <w:rStyle w:val="Accentuat"/>
          <w:lang w:val="en-US"/>
        </w:rPr>
        <w:t>Consiliului</w:t>
      </w:r>
      <w:proofErr w:type="spellEnd"/>
      <w:r w:rsidRPr="008E224C">
        <w:rPr>
          <w:rStyle w:val="Accentuat"/>
          <w:lang w:val="en-US"/>
        </w:rPr>
        <w:t xml:space="preserve"> local                                           GUZUN Iulia</w:t>
      </w: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6F2FC1" w:rsidRDefault="006F2FC1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CB2D00" w:rsidRDefault="00CB2D00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Pr="0093164F" w:rsidRDefault="00F869DD" w:rsidP="00F869DD">
      <w:pPr>
        <w:spacing w:after="200" w:line="276" w:lineRule="auto"/>
        <w:jc w:val="right"/>
        <w:rPr>
          <w:rFonts w:eastAsiaTheme="minorHAns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lastRenderedPageBreak/>
        <w:t>Anexa nr.1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  <w:t>La decizia Consiliului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Taxele locale, cotele și înlesnirile fiscale ce se</w:t>
      </w: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pun în aplicare pentru anul 202</w:t>
      </w:r>
      <w:r w:rsidR="00664048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3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pe teritoriul UAT</w:t>
      </w: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Donici,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r.Orhei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.</w:t>
      </w: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tbl>
      <w:tblPr>
        <w:tblStyle w:val="10"/>
        <w:tblW w:w="9288" w:type="dxa"/>
        <w:tblLook w:val="04A0" w:firstRow="1" w:lastRow="0" w:firstColumn="1" w:lastColumn="0" w:noHBand="0" w:noVBand="1"/>
      </w:tblPr>
      <w:tblGrid>
        <w:gridCol w:w="577"/>
        <w:gridCol w:w="1691"/>
        <w:gridCol w:w="1408"/>
        <w:gridCol w:w="1627"/>
        <w:gridCol w:w="1293"/>
        <w:gridCol w:w="1293"/>
        <w:gridCol w:w="1399"/>
      </w:tblGrid>
      <w:tr w:rsidR="00F869DD" w:rsidRPr="00204143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b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 xml:space="preserve">Nr 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d/o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b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Denumirea taxelor</w:t>
            </w:r>
          </w:p>
        </w:tc>
        <w:tc>
          <w:tcPr>
            <w:tcW w:w="140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Cota taxei de bază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 xml:space="preserve"> 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lei % pentru anul calendaristic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).</w:t>
            </w:r>
          </w:p>
        </w:tc>
        <w:tc>
          <w:tcPr>
            <w:tcW w:w="162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Coeficient pentru locul amplasării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doar în cazul taxei de piață și taxei pentru dispozitivele publicitare).</w:t>
            </w:r>
          </w:p>
        </w:tc>
        <w:tc>
          <w:tcPr>
            <w:tcW w:w="1293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Coeficient pentru tipul pieței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doar în cazul taxei de piață)</w:t>
            </w:r>
          </w:p>
        </w:tc>
        <w:tc>
          <w:tcPr>
            <w:tcW w:w="1293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Coeficient pentru regimul de activitate a pieței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doar în cazul taxei de piață)</w:t>
            </w:r>
          </w:p>
        </w:tc>
        <w:tc>
          <w:tcPr>
            <w:tcW w:w="1399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Înlesnirile fiscale conform art.296 din Codul fiscal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, suplimentar celor stabilite prin art.295</w:t>
            </w:r>
          </w:p>
        </w:tc>
      </w:tr>
      <w:tr w:rsidR="00F869DD" w:rsidRPr="004C118C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Taxa pentru amenajarea teritoriului</w:t>
            </w:r>
          </w:p>
        </w:tc>
        <w:tc>
          <w:tcPr>
            <w:tcW w:w="140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80 </w:t>
            </w:r>
          </w:p>
        </w:tc>
        <w:tc>
          <w:tcPr>
            <w:tcW w:w="1627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399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</w:tr>
      <w:tr w:rsidR="00F869DD" w:rsidRPr="00FE2B2A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Taxa de piață</w:t>
            </w:r>
          </w:p>
        </w:tc>
        <w:tc>
          <w:tcPr>
            <w:tcW w:w="1408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627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399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F869DD" w:rsidRPr="00FE2B2A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Taxa pentru dispozitivele publicitare</w:t>
            </w:r>
          </w:p>
        </w:tc>
        <w:tc>
          <w:tcPr>
            <w:tcW w:w="1408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627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399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</w:tbl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Secretar al consiliului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Guzun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Iulia</w:t>
      </w: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D37079" w:rsidRDefault="00D37079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D37079" w:rsidRPr="00FE2B2A" w:rsidRDefault="00D37079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Anexa </w:t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>nr.2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lastRenderedPageBreak/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  <w:t>la decizia Consiliului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Cotele taxei pentru unitățile comerciale și /sau de prestări servicii.</w:t>
      </w:r>
    </w:p>
    <w:tbl>
      <w:tblPr>
        <w:tblStyle w:val="2"/>
        <w:tblW w:w="9571" w:type="dxa"/>
        <w:tblInd w:w="-526" w:type="dxa"/>
        <w:tblLook w:val="04A0" w:firstRow="1" w:lastRow="0" w:firstColumn="1" w:lastColumn="0" w:noHBand="0" w:noVBand="1"/>
      </w:tblPr>
      <w:tblGrid>
        <w:gridCol w:w="534"/>
        <w:gridCol w:w="2641"/>
        <w:gridCol w:w="1598"/>
        <w:gridCol w:w="1595"/>
        <w:gridCol w:w="1592"/>
        <w:gridCol w:w="1611"/>
      </w:tblGrid>
      <w:tr w:rsidR="00F869DD" w:rsidRPr="00204143" w:rsidTr="00F54D55"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Nr 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d/o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59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Cota taxei de bază pentru unitatea de comerț/de prestări servicii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lei pentru anul calendaristic)</w:t>
            </w:r>
          </w:p>
        </w:tc>
        <w:tc>
          <w:tcPr>
            <w:tcW w:w="1595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% la cota taxei de bază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592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% la cota taxei de bază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61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Coeficientul pentru programul de activitate regim non-stop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% la cota taxei de bază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)</w:t>
            </w:r>
          </w:p>
        </w:tc>
      </w:tr>
      <w:tr w:rsidR="00F869DD" w:rsidRPr="00204143" w:rsidTr="00F54D55">
        <w:tc>
          <w:tcPr>
            <w:tcW w:w="9571" w:type="dxa"/>
            <w:gridSpan w:val="6"/>
          </w:tcPr>
          <w:p w:rsidR="00F869DD" w:rsidRPr="00FE2B2A" w:rsidRDefault="00F869DD" w:rsidP="00F54D55">
            <w:pPr>
              <w:ind w:left="709" w:firstLine="567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Unitățile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decomerț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cu amănuntul 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conform HG nr.931 din 08.12.20110</w:t>
            </w:r>
          </w:p>
        </w:tc>
      </w:tr>
      <w:tr w:rsidR="00F869DD" w:rsidRPr="0093164F" w:rsidTr="00F54D55"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Magazin care </w:t>
            </w:r>
            <w:r w:rsidRPr="00A341DC"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  <w:t>comercializează produse alimentare, mărfuri de uz casnic, mărfuri industrial, produse cosmetic și mobilier.</w:t>
            </w:r>
          </w:p>
        </w:tc>
        <w:tc>
          <w:tcPr>
            <w:tcW w:w="1598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592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    X</w:t>
            </w:r>
          </w:p>
        </w:tc>
        <w:tc>
          <w:tcPr>
            <w:tcW w:w="1611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F869DD" w:rsidRPr="00FE2B2A" w:rsidTr="00F54D55"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F869DD" w:rsidRPr="00FE2B2A" w:rsidRDefault="00F869DD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</w:t>
            </w:r>
            <w:r w:rsidR="00186BF8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200lei</w:t>
            </w:r>
          </w:p>
        </w:tc>
        <w:tc>
          <w:tcPr>
            <w:tcW w:w="1595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2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</w:tr>
      <w:tr w:rsidR="00F869DD" w:rsidRPr="00730286" w:rsidTr="00186BF8">
        <w:trPr>
          <w:trHeight w:val="300"/>
        </w:trPr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F869DD" w:rsidRDefault="00F869DD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 w:rsidR="00186BF8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21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 w:rsidR="00186BF8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  <w:p w:rsidR="00D37079" w:rsidRPr="00D37079" w:rsidRDefault="00D37079" w:rsidP="00186BF8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D37079">
              <w:rPr>
                <w:rFonts w:asciiTheme="minorHAnsi" w:eastAsiaTheme="minorHAnsi" w:hAnsiTheme="minorHAnsi" w:cstheme="minorBidi"/>
                <w:vertAlign w:val="superscript"/>
                <w:lang w:val="ro-RO" w:eastAsia="en-US"/>
              </w:rPr>
              <w:t>program redus de activitate</w:t>
            </w:r>
          </w:p>
        </w:tc>
        <w:tc>
          <w:tcPr>
            <w:tcW w:w="1598" w:type="dxa"/>
          </w:tcPr>
          <w:p w:rsidR="00186BF8" w:rsidRPr="00FE2B2A" w:rsidRDefault="00186BF8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210</w:t>
            </w:r>
            <w:r w:rsidR="00F869DD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0 lei</w:t>
            </w:r>
          </w:p>
        </w:tc>
        <w:tc>
          <w:tcPr>
            <w:tcW w:w="1595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2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</w:tr>
      <w:tr w:rsidR="00186BF8" w:rsidRPr="00730286" w:rsidTr="00F54D55">
        <w:trPr>
          <w:trHeight w:val="240"/>
        </w:trPr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31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70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D37079" w:rsidRPr="00FE2B2A" w:rsidRDefault="00186BF8" w:rsidP="004C5E6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4200 lei</w:t>
            </w:r>
          </w:p>
        </w:tc>
        <w:tc>
          <w:tcPr>
            <w:tcW w:w="1595" w:type="dxa"/>
          </w:tcPr>
          <w:p w:rsidR="00186BF8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51499D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 de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71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100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5200 lei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</w:tr>
      <w:tr w:rsidR="00186BF8" w:rsidRPr="00204143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3119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Unitățile de comerț cash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and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carry</w:t>
            </w:r>
          </w:p>
        </w:tc>
      </w:tr>
      <w:tr w:rsidR="00186BF8" w:rsidRPr="00204143" w:rsidTr="00F54D55">
        <w:trPr>
          <w:trHeight w:val="365"/>
        </w:trPr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Obiectele de comerț cash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and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carry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93164F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204143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3119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186BF8" w:rsidRPr="00204143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186BF8" w:rsidRPr="00A341DC" w:rsidRDefault="00186BF8" w:rsidP="00F54D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</w:pPr>
            <w:r w:rsidRPr="00A341DC"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  <w:t xml:space="preserve">Încăperi de depozitare a produselor cumpărate în scopul </w:t>
            </w:r>
            <w:proofErr w:type="spellStart"/>
            <w:r w:rsidRPr="00A341DC"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  <w:t>revînzării</w:t>
            </w:r>
            <w:proofErr w:type="spellEnd"/>
            <w:r w:rsidRPr="00A341DC"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  <w:t xml:space="preserve"> acestora către alți comercianți sau utilizatori profesionali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93164F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204143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1985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Unități de alimentație publică( conform HG nr.1209 din 08.11.2007)</w:t>
            </w: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Complex de alimentație publică: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unități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unități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Restaurant 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locuri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93164F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 locuri</w:t>
            </w:r>
          </w:p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Sala de festivități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204143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3261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Unități de prestări servicii</w:t>
            </w:r>
          </w:p>
          <w:p w:rsidR="00186BF8" w:rsidRPr="00FE2B2A" w:rsidRDefault="00186BF8" w:rsidP="00F54D55">
            <w:pPr>
              <w:ind w:left="2977" w:hanging="2977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(secțiunilor G(45.2),I, L, M, N, R și S, diviziunile, grupele și clasa, conform anexei nr.1 la Legea nr.231 din 23.09.2010)</w:t>
            </w:r>
          </w:p>
        </w:tc>
      </w:tr>
    </w:tbl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Pr="00CC0F7F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Secret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ar al consiliului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Guzun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Iulia</w:t>
      </w:r>
    </w:p>
    <w:p w:rsidR="00F869DD" w:rsidRPr="00F869DD" w:rsidRDefault="00F869DD" w:rsidP="00745E10">
      <w:pPr>
        <w:rPr>
          <w:lang w:val="ro-RO"/>
        </w:rPr>
      </w:pPr>
    </w:p>
    <w:sectPr w:rsidR="00F869DD" w:rsidRPr="00F8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1337C2"/>
    <w:multiLevelType w:val="multilevel"/>
    <w:tmpl w:val="B3CE59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9"/>
    <w:rsid w:val="00186BF8"/>
    <w:rsid w:val="00192D1E"/>
    <w:rsid w:val="00204143"/>
    <w:rsid w:val="00347857"/>
    <w:rsid w:val="005E4705"/>
    <w:rsid w:val="00664048"/>
    <w:rsid w:val="00694CE0"/>
    <w:rsid w:val="006F2FC1"/>
    <w:rsid w:val="00745E10"/>
    <w:rsid w:val="00764549"/>
    <w:rsid w:val="00B40BCE"/>
    <w:rsid w:val="00B6710D"/>
    <w:rsid w:val="00CB2D00"/>
    <w:rsid w:val="00CF2F89"/>
    <w:rsid w:val="00D37079"/>
    <w:rsid w:val="00E601AB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customStyle="1" w:styleId="1">
    <w:name w:val="Абзац списка1"/>
    <w:basedOn w:val="Normal"/>
    <w:qFormat/>
    <w:rsid w:val="00745E10"/>
    <w:pPr>
      <w:ind w:left="720"/>
    </w:pPr>
    <w:rPr>
      <w:rFonts w:eastAsia="Calibri"/>
      <w:lang w:val="ro-RO"/>
    </w:rPr>
  </w:style>
  <w:style w:type="table" w:customStyle="1" w:styleId="10">
    <w:name w:val="Сетка таблицы1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F8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601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601AB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01A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01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customStyle="1" w:styleId="1">
    <w:name w:val="Абзац списка1"/>
    <w:basedOn w:val="Normal"/>
    <w:qFormat/>
    <w:rsid w:val="00745E10"/>
    <w:pPr>
      <w:ind w:left="720"/>
    </w:pPr>
    <w:rPr>
      <w:rFonts w:eastAsia="Calibri"/>
      <w:lang w:val="ro-RO"/>
    </w:rPr>
  </w:style>
  <w:style w:type="table" w:customStyle="1" w:styleId="10">
    <w:name w:val="Сетка таблицы1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F8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601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601AB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01A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01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ThinkPad</cp:lastModifiedBy>
  <cp:revision>18</cp:revision>
  <cp:lastPrinted>2022-12-08T14:20:00Z</cp:lastPrinted>
  <dcterms:created xsi:type="dcterms:W3CDTF">2019-12-03T13:53:00Z</dcterms:created>
  <dcterms:modified xsi:type="dcterms:W3CDTF">2022-12-08T14:21:00Z</dcterms:modified>
</cp:coreProperties>
</file>